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CD1" w:rsidRPr="009B03E9" w:rsidRDefault="00973CD1" w:rsidP="00AA10AB">
      <w:pPr>
        <w:spacing w:line="480" w:lineRule="auto"/>
        <w:rPr>
          <w:rFonts w:ascii="Arial" w:hAnsi="Arial" w:cs="Arial"/>
        </w:rPr>
      </w:pPr>
      <w:r w:rsidRPr="009B03E9">
        <w:rPr>
          <w:rFonts w:ascii="Arial" w:hAnsi="Arial" w:cs="Arial"/>
        </w:rPr>
        <w:t>Effect of Travel restrictions on the number of confirmed COVID-19 cases</w:t>
      </w:r>
    </w:p>
    <w:p w:rsidR="00333BB4" w:rsidRPr="009B03E9" w:rsidRDefault="00333BB4" w:rsidP="00AA10AB">
      <w:pPr>
        <w:spacing w:line="480" w:lineRule="auto"/>
        <w:rPr>
          <w:rFonts w:ascii="Arial" w:hAnsi="Arial" w:cs="Arial"/>
        </w:rPr>
      </w:pPr>
      <w:r w:rsidRPr="009B03E9">
        <w:rPr>
          <w:rFonts w:ascii="Arial" w:hAnsi="Arial" w:cs="Arial"/>
        </w:rPr>
        <w:t>Name</w:t>
      </w:r>
    </w:p>
    <w:p w:rsidR="00D655BB" w:rsidRPr="009B03E9" w:rsidRDefault="00333BB4" w:rsidP="00AA10AB">
      <w:pPr>
        <w:spacing w:line="480" w:lineRule="auto"/>
        <w:rPr>
          <w:rFonts w:ascii="Arial" w:hAnsi="Arial" w:cs="Arial"/>
        </w:rPr>
      </w:pPr>
      <w:r w:rsidRPr="009B03E9">
        <w:rPr>
          <w:rFonts w:ascii="Arial" w:hAnsi="Arial" w:cs="Arial"/>
        </w:rPr>
        <w:t>Institution of Affiliation</w:t>
      </w:r>
    </w:p>
    <w:p w:rsidR="00333BB4" w:rsidRPr="009B03E9" w:rsidRDefault="00D655BB" w:rsidP="00AA10AB">
      <w:pPr>
        <w:spacing w:line="480" w:lineRule="auto"/>
        <w:rPr>
          <w:rFonts w:ascii="Arial" w:hAnsi="Arial" w:cs="Arial"/>
        </w:rPr>
      </w:pPr>
      <w:r w:rsidRPr="009B03E9">
        <w:rPr>
          <w:rFonts w:ascii="Arial" w:hAnsi="Arial" w:cs="Arial"/>
        </w:rPr>
        <w:t>Abstract</w:t>
      </w:r>
      <w:r w:rsidR="00333BB4" w:rsidRPr="009B03E9">
        <w:rPr>
          <w:rFonts w:ascii="Arial" w:hAnsi="Arial" w:cs="Arial"/>
        </w:rPr>
        <w:br w:type="page"/>
      </w:r>
    </w:p>
    <w:p w:rsidR="002274D4" w:rsidRPr="00467727" w:rsidRDefault="000A7EEB" w:rsidP="001A7F7B">
      <w:pPr>
        <w:spacing w:line="480" w:lineRule="auto"/>
        <w:rPr>
          <w:rFonts w:ascii="Arial" w:hAnsi="Arial" w:cs="Arial"/>
          <w:b/>
        </w:rPr>
      </w:pPr>
      <w:r w:rsidRPr="00467727">
        <w:rPr>
          <w:rFonts w:ascii="Arial" w:hAnsi="Arial" w:cs="Arial"/>
          <w:b/>
        </w:rPr>
        <w:lastRenderedPageBreak/>
        <w:t>Background and Significance</w:t>
      </w:r>
    </w:p>
    <w:p w:rsidR="00533C4B" w:rsidRDefault="00533C4B" w:rsidP="001A7F7B">
      <w:pPr>
        <w:spacing w:line="480" w:lineRule="auto"/>
        <w:rPr>
          <w:rFonts w:ascii="Arial" w:eastAsia="Times New Roman" w:hAnsi="Arial" w:cs="Arial"/>
        </w:rPr>
      </w:pPr>
      <w:r>
        <w:rPr>
          <w:rFonts w:ascii="Arial" w:hAnsi="Arial" w:cs="Arial"/>
        </w:rPr>
        <w:t xml:space="preserve">There have been multiple studies evaluating the effectiveness of mobility restrictions on curtailing the spread of COVID-19. In a study done by </w:t>
      </w:r>
      <w:r w:rsidRPr="009B03E9">
        <w:rPr>
          <w:rFonts w:ascii="Arial" w:eastAsia="Times New Roman" w:hAnsi="Arial" w:cs="Arial"/>
        </w:rPr>
        <w:t xml:space="preserve">Costantino, </w:t>
      </w:r>
      <w:r w:rsidRPr="00A22AEC">
        <w:rPr>
          <w:rFonts w:ascii="Arial" w:eastAsia="Times New Roman" w:hAnsi="Arial" w:cs="Arial"/>
        </w:rPr>
        <w:t xml:space="preserve">Heslop, </w:t>
      </w:r>
      <w:r w:rsidRPr="009B03E9">
        <w:rPr>
          <w:rFonts w:ascii="Arial" w:eastAsia="Times New Roman" w:hAnsi="Arial" w:cs="Arial"/>
        </w:rPr>
        <w:t>and</w:t>
      </w:r>
      <w:r>
        <w:rPr>
          <w:rFonts w:ascii="Arial" w:eastAsia="Times New Roman" w:hAnsi="Arial" w:cs="Arial"/>
        </w:rPr>
        <w:t xml:space="preserve"> MacIntyre (2020), it was concluded that travel restrictions were highly effective on containing the spread of the virus in Australia at a time when it was in its peak in China. The country put the restrictions when the virus was still largely localized to China, thereby averting a much larger outbreak in the country.</w:t>
      </w:r>
      <w:r w:rsidR="000C240E">
        <w:rPr>
          <w:rFonts w:ascii="Arial" w:eastAsia="Times New Roman" w:hAnsi="Arial" w:cs="Arial"/>
        </w:rPr>
        <w:t xml:space="preserve"> The researchers used data of disease incidence from China as well as international movements between China and Australia. They modelled three scenarios to evaluate the effect of international travel ban. In scenario one, there was no ban while scenario two and three used a full and partial lifting of the ban where more than 100,000 students were allowed to enter Australia, but not tourists.</w:t>
      </w:r>
      <w:r w:rsidR="00332C81">
        <w:rPr>
          <w:rFonts w:ascii="Arial" w:eastAsia="Times New Roman" w:hAnsi="Arial" w:cs="Arial"/>
        </w:rPr>
        <w:t xml:space="preserve"> It is evident that the study focused on the effect of international travel restrictions, thereby failing to account the effect of local spread from the cases that had already been reported before imposing the ban.</w:t>
      </w:r>
    </w:p>
    <w:p w:rsidR="00CD271F" w:rsidRDefault="00CD271F" w:rsidP="001A7F7B">
      <w:pPr>
        <w:spacing w:line="480" w:lineRule="auto"/>
        <w:rPr>
          <w:rFonts w:ascii="Arial" w:hAnsi="Arial" w:cs="Arial"/>
        </w:rPr>
      </w:pPr>
      <w:r>
        <w:rPr>
          <w:rFonts w:ascii="Arial" w:eastAsia="Times New Roman" w:hAnsi="Arial" w:cs="Arial"/>
        </w:rPr>
        <w:t xml:space="preserve">In another study, it was found that while countries can receive infected travelers to enter their border in absence of travel restrictions, these cases contribute little to the control of the pandemic. Conversely, the bans have debilitating effects on the social and economic cost. </w:t>
      </w:r>
      <w:r w:rsidR="00FE4B00">
        <w:rPr>
          <w:rFonts w:ascii="Arial" w:eastAsia="Times New Roman" w:hAnsi="Arial" w:cs="Arial"/>
        </w:rPr>
        <w:t>However,</w:t>
      </w:r>
      <w:r>
        <w:rPr>
          <w:rFonts w:ascii="Arial" w:eastAsia="Times New Roman" w:hAnsi="Arial" w:cs="Arial"/>
        </w:rPr>
        <w:t xml:space="preserve"> this argument is realistic only when most of the cases reported are from local spread.</w:t>
      </w:r>
      <w:r w:rsidR="00FE4B00">
        <w:rPr>
          <w:rFonts w:ascii="Arial" w:eastAsia="Times New Roman" w:hAnsi="Arial" w:cs="Arial"/>
        </w:rPr>
        <w:t xml:space="preserve"> In such instances, stringent travel rules would have limited impact on the epidemic control. Only countries with low local incidence rates and large numbers of travellers from other countries can use the ban on international travel as a convenient tool for fighting the virus </w:t>
      </w:r>
      <w:r w:rsidRPr="009B03E9">
        <w:rPr>
          <w:rFonts w:ascii="Arial" w:hAnsi="Arial" w:cs="Arial"/>
        </w:rPr>
        <w:t>(Russell et al., 2020)</w:t>
      </w:r>
      <w:r w:rsidR="00F557CF">
        <w:rPr>
          <w:rFonts w:ascii="Arial" w:hAnsi="Arial" w:cs="Arial"/>
        </w:rPr>
        <w:t xml:space="preserve">. This </w:t>
      </w:r>
      <w:r w:rsidR="00CC03A0">
        <w:rPr>
          <w:rFonts w:ascii="Arial" w:hAnsi="Arial" w:cs="Arial"/>
        </w:rPr>
        <w:t>also can be alluded to the</w:t>
      </w:r>
      <w:r w:rsidR="00F557CF">
        <w:rPr>
          <w:rFonts w:ascii="Arial" w:hAnsi="Arial" w:cs="Arial"/>
        </w:rPr>
        <w:t xml:space="preserve"> interstate and intercity travel in </w:t>
      </w:r>
      <w:r w:rsidR="00607369">
        <w:rPr>
          <w:rFonts w:ascii="Arial" w:hAnsi="Arial" w:cs="Arial"/>
        </w:rPr>
        <w:t>the United</w:t>
      </w:r>
      <w:r w:rsidR="00CC03A0">
        <w:rPr>
          <w:rFonts w:ascii="Arial" w:hAnsi="Arial" w:cs="Arial"/>
        </w:rPr>
        <w:t xml:space="preserve"> States.</w:t>
      </w:r>
      <w:r w:rsidR="0094427A">
        <w:rPr>
          <w:rFonts w:ascii="Arial" w:hAnsi="Arial" w:cs="Arial"/>
        </w:rPr>
        <w:t xml:space="preserve"> Therefore, it is imperative to assess the impact of local restrictions such as banning of gatherings, internal movement, and stay-home restriction as well as the international travel restrictions and stringency index. The goal of this experiment is to test the combined effect on number of reported cases based on all these variables.</w:t>
      </w:r>
      <w:bookmarkStart w:id="0" w:name="_GoBack"/>
      <w:bookmarkEnd w:id="0"/>
    </w:p>
    <w:p w:rsidR="000A7EEB" w:rsidRDefault="000A7EEB" w:rsidP="001A7F7B">
      <w:pPr>
        <w:spacing w:line="480" w:lineRule="auto"/>
        <w:rPr>
          <w:rFonts w:ascii="Arial" w:hAnsi="Arial" w:cs="Arial"/>
          <w:b/>
        </w:rPr>
      </w:pPr>
      <w:r w:rsidRPr="001A7F7B">
        <w:rPr>
          <w:rFonts w:ascii="Arial" w:hAnsi="Arial" w:cs="Arial"/>
          <w:b/>
        </w:rPr>
        <w:lastRenderedPageBreak/>
        <w:t>Methods</w:t>
      </w:r>
    </w:p>
    <w:p w:rsidR="007B3FF7" w:rsidRDefault="00B608E8" w:rsidP="001A7F7B">
      <w:pPr>
        <w:spacing w:line="480" w:lineRule="auto"/>
        <w:rPr>
          <w:rFonts w:ascii="Arial" w:hAnsi="Arial" w:cs="Arial"/>
        </w:rPr>
      </w:pPr>
      <w:r>
        <w:rPr>
          <w:rFonts w:ascii="Arial" w:hAnsi="Arial" w:cs="Arial"/>
        </w:rPr>
        <w:t>Data for the experiment was obtained from COVID-19 Data Hub for the period between January 1</w:t>
      </w:r>
      <w:r w:rsidR="00F30C90">
        <w:rPr>
          <w:rFonts w:ascii="Arial" w:hAnsi="Arial" w:cs="Arial"/>
        </w:rPr>
        <w:t xml:space="preserve">2, 2020 and September 22, 2020. The purpose to establish the impact of bans in gathering, stay-home, internal travel, international travel, and stringency index on the number of COVID-19 in </w:t>
      </w:r>
      <w:r w:rsidR="00245B96">
        <w:rPr>
          <w:rFonts w:ascii="Arial" w:hAnsi="Arial" w:cs="Arial"/>
        </w:rPr>
        <w:t>the state of California.</w:t>
      </w:r>
      <w:r w:rsidR="001635BA">
        <w:rPr>
          <w:rFonts w:ascii="Arial" w:hAnsi="Arial" w:cs="Arial"/>
        </w:rPr>
        <w:t xml:space="preserve"> </w:t>
      </w:r>
      <w:r>
        <w:rPr>
          <w:rFonts w:ascii="Arial" w:hAnsi="Arial" w:cs="Arial"/>
        </w:rPr>
        <w:t>This database was created in response to the pandemic to aid researchers and policy developers in studying the trend of the numbers as impacted by the various control measures. The center for Systems and Engineering in collaboration with ESRI and John Hopkins University is maintained a web-based platform to track COVID-19 in real time</w:t>
      </w:r>
      <w:r w:rsidR="009B03E9" w:rsidRPr="009B03E9">
        <w:rPr>
          <w:rFonts w:ascii="Arial" w:hAnsi="Arial" w:cs="Arial"/>
        </w:rPr>
        <w:t xml:space="preserve"> (Dong,</w:t>
      </w:r>
      <w:r>
        <w:rPr>
          <w:rFonts w:ascii="Arial" w:hAnsi="Arial" w:cs="Arial"/>
        </w:rPr>
        <w:t xml:space="preserve"> </w:t>
      </w:r>
      <w:r w:rsidR="009B03E9" w:rsidRPr="009B03E9">
        <w:rPr>
          <w:rFonts w:ascii="Arial" w:hAnsi="Arial" w:cs="Arial"/>
        </w:rPr>
        <w:t>Du, &amp; Gardner, 2020).</w:t>
      </w:r>
      <w:r>
        <w:rPr>
          <w:rFonts w:ascii="Arial" w:hAnsi="Arial" w:cs="Arial"/>
        </w:rPr>
        <w:t xml:space="preserve"> The data is made freely available for interested parties.</w:t>
      </w:r>
      <w:r w:rsidR="00FD3687">
        <w:rPr>
          <w:rFonts w:ascii="Arial" w:hAnsi="Arial" w:cs="Arial"/>
        </w:rPr>
        <w:t xml:space="preserve"> While the data is available at different levels of granularity, this experiment used variables at state level</w:t>
      </w:r>
      <w:r w:rsidR="007B3FF7" w:rsidRPr="009B03E9">
        <w:rPr>
          <w:rFonts w:ascii="Arial" w:hAnsi="Arial" w:cs="Arial"/>
        </w:rPr>
        <w:t xml:space="preserve"> (</w:t>
      </w:r>
      <w:r w:rsidR="007B3FF7" w:rsidRPr="007B3FF7">
        <w:rPr>
          <w:rFonts w:ascii="Arial" w:eastAsia="Times New Roman" w:hAnsi="Arial" w:cs="Arial"/>
        </w:rPr>
        <w:t>Guidotti</w:t>
      </w:r>
      <w:r w:rsidR="007B3FF7" w:rsidRPr="009B03E9">
        <w:rPr>
          <w:rFonts w:ascii="Arial" w:eastAsia="Times New Roman" w:hAnsi="Arial" w:cs="Arial"/>
        </w:rPr>
        <w:t xml:space="preserve"> </w:t>
      </w:r>
      <w:r w:rsidR="007B3FF7" w:rsidRPr="007B3FF7">
        <w:rPr>
          <w:rFonts w:ascii="Arial" w:eastAsia="Times New Roman" w:hAnsi="Arial" w:cs="Arial"/>
        </w:rPr>
        <w:t>&amp; Ardia,</w:t>
      </w:r>
      <w:r w:rsidR="007B3FF7" w:rsidRPr="009B03E9">
        <w:rPr>
          <w:rFonts w:ascii="Arial" w:hAnsi="Arial" w:cs="Arial"/>
        </w:rPr>
        <w:t xml:space="preserve"> 2020)</w:t>
      </w:r>
      <w:r w:rsidR="006808AD">
        <w:rPr>
          <w:rFonts w:ascii="Arial" w:hAnsi="Arial" w:cs="Arial"/>
        </w:rPr>
        <w:t>.</w:t>
      </w:r>
      <w:r w:rsidR="001635BA">
        <w:rPr>
          <w:rFonts w:ascii="Arial" w:hAnsi="Arial" w:cs="Arial"/>
        </w:rPr>
        <w:t xml:space="preserve"> There was no question of consent because the data base does not provide any private information that can be used to trace the individuals who tested positive for the virus.</w:t>
      </w:r>
    </w:p>
    <w:p w:rsidR="00A23D6A" w:rsidRDefault="00A23D6A" w:rsidP="008420F2">
      <w:pPr>
        <w:spacing w:line="480" w:lineRule="auto"/>
        <w:rPr>
          <w:rFonts w:ascii="Arial" w:hAnsi="Arial" w:cs="Arial"/>
        </w:rPr>
      </w:pPr>
      <w:r>
        <w:rPr>
          <w:rFonts w:ascii="Arial" w:hAnsi="Arial" w:cs="Arial"/>
        </w:rPr>
        <w:t xml:space="preserve">The days to be used in the analysis were assigned randomly using R according to the block variables: </w:t>
      </w:r>
      <w:r w:rsidR="008420F2">
        <w:rPr>
          <w:rFonts w:ascii="Arial" w:hAnsi="Arial" w:cs="Arial"/>
        </w:rPr>
        <w:t>g</w:t>
      </w:r>
      <w:r>
        <w:rPr>
          <w:rFonts w:ascii="Arial" w:hAnsi="Arial" w:cs="Arial"/>
        </w:rPr>
        <w:t xml:space="preserve">athering restrictions, Internal travel restrictions, stay-home restrictions, international travel restrictions, and stringency index. The data was then analyzed using R studio. Descriptive statistics for the number </w:t>
      </w:r>
      <w:r w:rsidR="00E56488">
        <w:rPr>
          <w:rFonts w:ascii="Arial" w:hAnsi="Arial" w:cs="Arial"/>
        </w:rPr>
        <w:t>of cases as affected by the various variables were presented in a tabular format as seen in table 1. Using a multiple linear regression model, hypothesis tests were conducted on the data to determine the change on daily number of confirmed cases as affected by the variables used in the study.</w:t>
      </w:r>
      <w:r w:rsidR="008420F2">
        <w:rPr>
          <w:rFonts w:ascii="Arial" w:hAnsi="Arial" w:cs="Arial"/>
        </w:rPr>
        <w:t xml:space="preserve"> The first linear regression model tested all the variables i.e. </w:t>
      </w:r>
      <w:r w:rsidR="008420F2">
        <w:rPr>
          <w:rFonts w:ascii="Arial" w:hAnsi="Arial" w:cs="Arial"/>
        </w:rPr>
        <w:t>gathering restrictions, Internal travel restrictions, stay-home restrictions, international travel restrictions, and stringency index.</w:t>
      </w:r>
      <w:r w:rsidR="008420F2">
        <w:rPr>
          <w:rFonts w:ascii="Arial" w:hAnsi="Arial" w:cs="Arial"/>
        </w:rPr>
        <w:t xml:space="preserve"> The test was then altered by removing the single least significant variables based on their p-value from the multiple linear regression test. This procedure was repeated until all the insignificant variables were eliminated, thereby remaining with the variables with the most significant impact on the number of COVID-19 cases.</w:t>
      </w:r>
      <w:r w:rsidR="0012368E">
        <w:rPr>
          <w:rFonts w:ascii="Arial" w:hAnsi="Arial" w:cs="Arial"/>
        </w:rPr>
        <w:t xml:space="preserve"> </w:t>
      </w:r>
      <w:r w:rsidR="0012368E">
        <w:rPr>
          <w:rFonts w:ascii="Arial" w:hAnsi="Arial" w:cs="Arial"/>
        </w:rPr>
        <w:lastRenderedPageBreak/>
        <w:t>The results of this model is displayed in table 2.</w:t>
      </w:r>
      <w:r w:rsidR="00556250">
        <w:rPr>
          <w:rFonts w:ascii="Arial" w:hAnsi="Arial" w:cs="Arial"/>
        </w:rPr>
        <w:t xml:space="preserve"> The R</w:t>
      </w:r>
      <w:r w:rsidR="00556250">
        <w:rPr>
          <w:rFonts w:ascii="Arial" w:hAnsi="Arial" w:cs="Arial"/>
          <w:vertAlign w:val="superscript"/>
        </w:rPr>
        <w:t>2</w:t>
      </w:r>
      <w:r w:rsidR="00556250">
        <w:rPr>
          <w:rFonts w:ascii="Arial" w:hAnsi="Arial" w:cs="Arial"/>
        </w:rPr>
        <w:t xml:space="preserve"> value for the variables in the model was assessed to establish if any of the significant variables had a greater effect on the number of COVID-19 cases.</w:t>
      </w:r>
      <w:r w:rsidR="008A1ECD">
        <w:rPr>
          <w:rFonts w:ascii="Arial" w:hAnsi="Arial" w:cs="Arial"/>
        </w:rPr>
        <w:t xml:space="preserve"> The presumptions for the linear regression model were </w:t>
      </w:r>
      <w:r w:rsidR="00306A9C">
        <w:rPr>
          <w:rFonts w:ascii="Arial" w:hAnsi="Arial" w:cs="Arial"/>
        </w:rPr>
        <w:t>analyzed using</w:t>
      </w:r>
      <w:r w:rsidR="008A1ECD">
        <w:rPr>
          <w:rFonts w:ascii="Arial" w:hAnsi="Arial" w:cs="Arial"/>
        </w:rPr>
        <w:t xml:space="preserve"> the Shapiro Wilk test, Residual vs. fitted plots, and QQ plots with the charts for these plots being shown in the appendix.</w:t>
      </w:r>
    </w:p>
    <w:p w:rsidR="00AA65A7" w:rsidRPr="00556250" w:rsidRDefault="00AA65A7" w:rsidP="008420F2">
      <w:pPr>
        <w:spacing w:line="480" w:lineRule="auto"/>
        <w:rPr>
          <w:rFonts w:ascii="Arial" w:hAnsi="Arial" w:cs="Arial"/>
        </w:rPr>
      </w:pPr>
      <w:r>
        <w:rPr>
          <w:rFonts w:ascii="Arial" w:hAnsi="Arial" w:cs="Arial"/>
        </w:rPr>
        <w:t>State of California</w:t>
      </w:r>
    </w:p>
    <w:p w:rsidR="00667D0A" w:rsidRPr="009B03E9" w:rsidRDefault="00667D0A" w:rsidP="001A7F7B">
      <w:pPr>
        <w:spacing w:line="480" w:lineRule="auto"/>
        <w:rPr>
          <w:rFonts w:ascii="Arial" w:hAnsi="Arial" w:cs="Arial"/>
        </w:rPr>
      </w:pPr>
      <w:r w:rsidRPr="009B03E9">
        <w:rPr>
          <w:rFonts w:ascii="Arial" w:hAnsi="Arial" w:cs="Arial"/>
        </w:rPr>
        <w:t>Gathering restrictions</w:t>
      </w:r>
    </w:p>
    <w:p w:rsidR="00667D0A" w:rsidRPr="009B03E9" w:rsidRDefault="00667D0A" w:rsidP="001A7F7B">
      <w:pPr>
        <w:spacing w:line="480" w:lineRule="auto"/>
        <w:rPr>
          <w:rFonts w:ascii="Arial" w:hAnsi="Arial" w:cs="Arial"/>
        </w:rPr>
      </w:pPr>
      <w:r w:rsidRPr="009B03E9">
        <w:rPr>
          <w:rFonts w:ascii="Arial" w:hAnsi="Arial" w:cs="Arial"/>
        </w:rPr>
        <w:t>Stay home restrictions</w:t>
      </w:r>
    </w:p>
    <w:p w:rsidR="00667D0A" w:rsidRPr="009B03E9" w:rsidRDefault="00667D0A" w:rsidP="001A7F7B">
      <w:pPr>
        <w:spacing w:line="480" w:lineRule="auto"/>
        <w:rPr>
          <w:rFonts w:ascii="Arial" w:hAnsi="Arial" w:cs="Arial"/>
        </w:rPr>
      </w:pPr>
      <w:r w:rsidRPr="009B03E9">
        <w:rPr>
          <w:rFonts w:ascii="Arial" w:hAnsi="Arial" w:cs="Arial"/>
        </w:rPr>
        <w:t>Internal movement restrictions</w:t>
      </w:r>
    </w:p>
    <w:p w:rsidR="00AA65A7" w:rsidRDefault="00AA65A7" w:rsidP="001A7F7B">
      <w:pPr>
        <w:spacing w:line="480" w:lineRule="auto"/>
        <w:rPr>
          <w:rFonts w:ascii="Arial" w:hAnsi="Arial" w:cs="Arial"/>
        </w:rPr>
      </w:pPr>
      <w:r>
        <w:rPr>
          <w:rFonts w:ascii="Arial" w:hAnsi="Arial" w:cs="Arial"/>
        </w:rPr>
        <w:t>International movement restrictions</w:t>
      </w:r>
    </w:p>
    <w:p w:rsidR="00667D0A" w:rsidRPr="009B03E9" w:rsidRDefault="00667D0A" w:rsidP="001A7F7B">
      <w:pPr>
        <w:spacing w:line="480" w:lineRule="auto"/>
        <w:rPr>
          <w:rFonts w:ascii="Arial" w:hAnsi="Arial" w:cs="Arial"/>
        </w:rPr>
      </w:pPr>
      <w:r w:rsidRPr="009B03E9">
        <w:rPr>
          <w:rFonts w:ascii="Arial" w:hAnsi="Arial" w:cs="Arial"/>
        </w:rPr>
        <w:t>Stringency index</w:t>
      </w:r>
    </w:p>
    <w:p w:rsidR="000A7EEB" w:rsidRPr="001A7F7B" w:rsidRDefault="000A7EEB" w:rsidP="001A7F7B">
      <w:pPr>
        <w:spacing w:line="480" w:lineRule="auto"/>
        <w:rPr>
          <w:rFonts w:ascii="Arial" w:hAnsi="Arial" w:cs="Arial"/>
          <w:b/>
        </w:rPr>
      </w:pPr>
      <w:r w:rsidRPr="001A7F7B">
        <w:rPr>
          <w:rFonts w:ascii="Arial" w:hAnsi="Arial" w:cs="Arial"/>
          <w:b/>
        </w:rPr>
        <w:t>Results</w:t>
      </w:r>
    </w:p>
    <w:p w:rsidR="000A7EEB" w:rsidRPr="001A7F7B" w:rsidRDefault="000A7EEB" w:rsidP="001A7F7B">
      <w:pPr>
        <w:spacing w:line="480" w:lineRule="auto"/>
        <w:rPr>
          <w:rFonts w:ascii="Arial" w:hAnsi="Arial" w:cs="Arial"/>
          <w:b/>
        </w:rPr>
      </w:pPr>
      <w:r w:rsidRPr="001A7F7B">
        <w:rPr>
          <w:rFonts w:ascii="Arial" w:hAnsi="Arial" w:cs="Arial"/>
          <w:b/>
        </w:rPr>
        <w:t>Discussion</w:t>
      </w:r>
    </w:p>
    <w:p w:rsidR="00432B12" w:rsidRDefault="00432B12">
      <w:pPr>
        <w:rPr>
          <w:rFonts w:ascii="Arial" w:hAnsi="Arial" w:cs="Arial"/>
        </w:rPr>
      </w:pPr>
      <w:r>
        <w:rPr>
          <w:rFonts w:ascii="Arial" w:hAnsi="Arial" w:cs="Arial"/>
        </w:rPr>
        <w:br w:type="page"/>
      </w:r>
    </w:p>
    <w:p w:rsidR="000A7EEB" w:rsidRPr="00432B12" w:rsidRDefault="000A7EEB" w:rsidP="00432B12">
      <w:pPr>
        <w:spacing w:line="480" w:lineRule="auto"/>
        <w:jc w:val="center"/>
        <w:rPr>
          <w:rFonts w:ascii="Arial" w:hAnsi="Arial" w:cs="Arial"/>
        </w:rPr>
      </w:pPr>
      <w:r w:rsidRPr="00432B12">
        <w:rPr>
          <w:rFonts w:ascii="Arial" w:hAnsi="Arial" w:cs="Arial"/>
        </w:rPr>
        <w:lastRenderedPageBreak/>
        <w:t>References</w:t>
      </w:r>
    </w:p>
    <w:p w:rsidR="00A22AEC" w:rsidRDefault="00A22AEC" w:rsidP="001A7F7B">
      <w:pPr>
        <w:spacing w:after="0" w:line="480" w:lineRule="auto"/>
        <w:rPr>
          <w:rFonts w:ascii="Arial" w:eastAsia="Times New Roman" w:hAnsi="Arial" w:cs="Arial"/>
        </w:rPr>
      </w:pPr>
      <w:r w:rsidRPr="00A22AEC">
        <w:rPr>
          <w:rFonts w:ascii="Arial" w:eastAsia="Times New Roman" w:hAnsi="Arial" w:cs="Arial"/>
        </w:rPr>
        <w:t xml:space="preserve">Costantino, V., Heslop, D. J., &amp; MacIntyre, C. R. (2020). The effectiveness of full and partial travel bans against COVID-19 spread in Australia for travellers from China. </w:t>
      </w:r>
      <w:r w:rsidRPr="00A22AEC">
        <w:rPr>
          <w:rFonts w:ascii="Arial" w:eastAsia="Times New Roman" w:hAnsi="Arial" w:cs="Arial"/>
          <w:i/>
          <w:iCs/>
        </w:rPr>
        <w:t>medRxiv</w:t>
      </w:r>
      <w:r w:rsidRPr="00A22AEC">
        <w:rPr>
          <w:rFonts w:ascii="Arial" w:eastAsia="Times New Roman" w:hAnsi="Arial" w:cs="Arial"/>
          <w:i/>
        </w:rPr>
        <w:t>.</w:t>
      </w:r>
    </w:p>
    <w:p w:rsidR="006808AD" w:rsidRPr="009B03E9" w:rsidRDefault="006808AD" w:rsidP="001A7F7B">
      <w:pPr>
        <w:spacing w:after="0" w:line="480" w:lineRule="auto"/>
        <w:rPr>
          <w:rFonts w:ascii="Arial" w:eastAsia="Times New Roman" w:hAnsi="Arial" w:cs="Arial"/>
        </w:rPr>
      </w:pPr>
      <w:r w:rsidRPr="006808AD">
        <w:rPr>
          <w:rFonts w:ascii="Arial" w:eastAsia="Times New Roman" w:hAnsi="Arial" w:cs="Arial"/>
        </w:rPr>
        <w:t>Dong, E. Hongru Du and Lauren Gardner. 2020. An Interactive Web-Based Dashboard to Track COVID-19 in Real Time, 30120-1.</w:t>
      </w:r>
    </w:p>
    <w:p w:rsidR="007B3FF7" w:rsidRPr="00A22AEC" w:rsidRDefault="007B3FF7" w:rsidP="001A7F7B">
      <w:pPr>
        <w:spacing w:after="0" w:line="480" w:lineRule="auto"/>
        <w:rPr>
          <w:rFonts w:ascii="Arial" w:eastAsia="Times New Roman" w:hAnsi="Arial" w:cs="Arial"/>
        </w:rPr>
      </w:pPr>
      <w:r w:rsidRPr="007B3FF7">
        <w:rPr>
          <w:rFonts w:ascii="Arial" w:eastAsia="Times New Roman" w:hAnsi="Arial" w:cs="Arial"/>
        </w:rPr>
        <w:t xml:space="preserve">Guidotti, E., &amp; Ardia, D. (2020). COVID-19 data hub. </w:t>
      </w:r>
      <w:r w:rsidRPr="007B3FF7">
        <w:rPr>
          <w:rFonts w:ascii="Arial" w:eastAsia="Times New Roman" w:hAnsi="Arial" w:cs="Arial"/>
          <w:i/>
          <w:iCs/>
        </w:rPr>
        <w:t>Journal of Open Source Software</w:t>
      </w:r>
      <w:r w:rsidRPr="007B3FF7">
        <w:rPr>
          <w:rFonts w:ascii="Arial" w:eastAsia="Times New Roman" w:hAnsi="Arial" w:cs="Arial"/>
        </w:rPr>
        <w:t xml:space="preserve">, </w:t>
      </w:r>
      <w:r w:rsidRPr="007B3FF7">
        <w:rPr>
          <w:rFonts w:ascii="Arial" w:eastAsia="Times New Roman" w:hAnsi="Arial" w:cs="Arial"/>
          <w:i/>
          <w:iCs/>
        </w:rPr>
        <w:t>5</w:t>
      </w:r>
      <w:r w:rsidRPr="007B3FF7">
        <w:rPr>
          <w:rFonts w:ascii="Arial" w:eastAsia="Times New Roman" w:hAnsi="Arial" w:cs="Arial"/>
        </w:rPr>
        <w:t>(51), 2376.</w:t>
      </w:r>
    </w:p>
    <w:p w:rsidR="00A22AEC" w:rsidRPr="009B03E9" w:rsidRDefault="00E33DD3" w:rsidP="001A7F7B">
      <w:pPr>
        <w:spacing w:line="480" w:lineRule="auto"/>
        <w:rPr>
          <w:rFonts w:ascii="Arial" w:hAnsi="Arial" w:cs="Arial"/>
        </w:rPr>
      </w:pPr>
      <w:r w:rsidRPr="009B03E9">
        <w:rPr>
          <w:rFonts w:ascii="Arial" w:hAnsi="Arial" w:cs="Arial"/>
        </w:rPr>
        <w:t xml:space="preserve">Russell, T. W., Wu, J., Clifford, S., Edmunds, J., Kucharski, A. J., &amp; </w:t>
      </w:r>
      <w:proofErr w:type="spellStart"/>
      <w:r w:rsidRPr="009B03E9">
        <w:rPr>
          <w:rFonts w:ascii="Arial" w:hAnsi="Arial" w:cs="Arial"/>
        </w:rPr>
        <w:t>Jit</w:t>
      </w:r>
      <w:proofErr w:type="spellEnd"/>
      <w:r w:rsidRPr="009B03E9">
        <w:rPr>
          <w:rFonts w:ascii="Arial" w:hAnsi="Arial" w:cs="Arial"/>
        </w:rPr>
        <w:t xml:space="preserve">, M. (2020). The effect of international travel restrictions on internal spread of COVID-19. </w:t>
      </w:r>
      <w:r w:rsidRPr="006808AD">
        <w:rPr>
          <w:rFonts w:ascii="Arial" w:hAnsi="Arial" w:cs="Arial"/>
          <w:i/>
        </w:rPr>
        <w:t>medRxiv</w:t>
      </w:r>
      <w:r w:rsidRPr="009B03E9">
        <w:rPr>
          <w:rFonts w:ascii="Arial" w:hAnsi="Arial" w:cs="Arial"/>
        </w:rPr>
        <w:t>.</w:t>
      </w:r>
    </w:p>
    <w:p w:rsidR="000A7EEB" w:rsidRPr="001A7F7B" w:rsidRDefault="000A7EEB" w:rsidP="001A7F7B">
      <w:pPr>
        <w:spacing w:line="480" w:lineRule="auto"/>
        <w:rPr>
          <w:rFonts w:ascii="Arial" w:hAnsi="Arial" w:cs="Arial"/>
          <w:b/>
        </w:rPr>
      </w:pPr>
      <w:r w:rsidRPr="001A7F7B">
        <w:rPr>
          <w:rFonts w:ascii="Arial" w:hAnsi="Arial" w:cs="Arial"/>
          <w:b/>
        </w:rPr>
        <w:t>Appendix</w:t>
      </w:r>
    </w:p>
    <w:p w:rsidR="000A7EEB" w:rsidRPr="009B03E9" w:rsidRDefault="000A7EEB" w:rsidP="001A7F7B">
      <w:pPr>
        <w:spacing w:line="480" w:lineRule="auto"/>
        <w:rPr>
          <w:rFonts w:ascii="Arial" w:hAnsi="Arial" w:cs="Arial"/>
        </w:rPr>
      </w:pPr>
    </w:p>
    <w:sectPr w:rsidR="000A7EEB" w:rsidRPr="009B03E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108" w:rsidRDefault="00BC5108" w:rsidP="00BE196E">
      <w:pPr>
        <w:spacing w:after="0" w:line="240" w:lineRule="auto"/>
      </w:pPr>
      <w:r>
        <w:separator/>
      </w:r>
    </w:p>
  </w:endnote>
  <w:endnote w:type="continuationSeparator" w:id="0">
    <w:p w:rsidR="00BC5108" w:rsidRDefault="00BC5108" w:rsidP="00BE1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108" w:rsidRDefault="00BC5108" w:rsidP="00BE196E">
      <w:pPr>
        <w:spacing w:after="0" w:line="240" w:lineRule="auto"/>
      </w:pPr>
      <w:r>
        <w:separator/>
      </w:r>
    </w:p>
  </w:footnote>
  <w:footnote w:type="continuationSeparator" w:id="0">
    <w:p w:rsidR="00BC5108" w:rsidRDefault="00BC5108" w:rsidP="00BE1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1389924294"/>
      <w:docPartObj>
        <w:docPartGallery w:val="Page Numbers (Top of Page)"/>
        <w:docPartUnique/>
      </w:docPartObj>
    </w:sdtPr>
    <w:sdtEndPr>
      <w:rPr>
        <w:noProof/>
      </w:rPr>
    </w:sdtEndPr>
    <w:sdtContent>
      <w:p w:rsidR="00BE196E" w:rsidRPr="00BE196E" w:rsidRDefault="00BE196E">
        <w:pPr>
          <w:pStyle w:val="Header"/>
          <w:jc w:val="right"/>
          <w:rPr>
            <w:rFonts w:ascii="Arial" w:hAnsi="Arial" w:cs="Arial"/>
          </w:rPr>
        </w:pPr>
        <w:r w:rsidRPr="00BE196E">
          <w:rPr>
            <w:rFonts w:ascii="Arial" w:hAnsi="Arial" w:cs="Arial"/>
          </w:rPr>
          <w:fldChar w:fldCharType="begin"/>
        </w:r>
        <w:r w:rsidRPr="00BE196E">
          <w:rPr>
            <w:rFonts w:ascii="Arial" w:hAnsi="Arial" w:cs="Arial"/>
          </w:rPr>
          <w:instrText xml:space="preserve"> PAGE   \* MERGEFORMAT </w:instrText>
        </w:r>
        <w:r w:rsidRPr="00BE196E">
          <w:rPr>
            <w:rFonts w:ascii="Arial" w:hAnsi="Arial" w:cs="Arial"/>
          </w:rPr>
          <w:fldChar w:fldCharType="separate"/>
        </w:r>
        <w:r w:rsidR="00822EE4">
          <w:rPr>
            <w:rFonts w:ascii="Arial" w:hAnsi="Arial" w:cs="Arial"/>
            <w:noProof/>
          </w:rPr>
          <w:t>5</w:t>
        </w:r>
        <w:r w:rsidRPr="00BE196E">
          <w:rPr>
            <w:rFonts w:ascii="Arial" w:hAnsi="Arial" w:cs="Arial"/>
            <w:noProof/>
          </w:rPr>
          <w:fldChar w:fldCharType="end"/>
        </w:r>
      </w:p>
    </w:sdtContent>
  </w:sdt>
  <w:p w:rsidR="00BE196E" w:rsidRDefault="00BE196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71494E"/>
    <w:multiLevelType w:val="hybridMultilevel"/>
    <w:tmpl w:val="3176F44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EEB"/>
    <w:rsid w:val="00020853"/>
    <w:rsid w:val="000A7EEB"/>
    <w:rsid w:val="000B0B8D"/>
    <w:rsid w:val="000C240E"/>
    <w:rsid w:val="000D4A06"/>
    <w:rsid w:val="0012368E"/>
    <w:rsid w:val="001552A4"/>
    <w:rsid w:val="001635BA"/>
    <w:rsid w:val="001A7F7B"/>
    <w:rsid w:val="002274D4"/>
    <w:rsid w:val="00245B96"/>
    <w:rsid w:val="0026054A"/>
    <w:rsid w:val="00306A9C"/>
    <w:rsid w:val="00332C81"/>
    <w:rsid w:val="00333BB4"/>
    <w:rsid w:val="00432B12"/>
    <w:rsid w:val="00467727"/>
    <w:rsid w:val="004C3FB1"/>
    <w:rsid w:val="00514718"/>
    <w:rsid w:val="00526DB3"/>
    <w:rsid w:val="00533C4B"/>
    <w:rsid w:val="00556250"/>
    <w:rsid w:val="00607369"/>
    <w:rsid w:val="00667D0A"/>
    <w:rsid w:val="006808AD"/>
    <w:rsid w:val="006B3F67"/>
    <w:rsid w:val="006C061F"/>
    <w:rsid w:val="00764B63"/>
    <w:rsid w:val="00771C5A"/>
    <w:rsid w:val="007B3FF7"/>
    <w:rsid w:val="00822EE4"/>
    <w:rsid w:val="008420F2"/>
    <w:rsid w:val="00847A4E"/>
    <w:rsid w:val="008A1ECD"/>
    <w:rsid w:val="0094427A"/>
    <w:rsid w:val="00973CD1"/>
    <w:rsid w:val="009B03E9"/>
    <w:rsid w:val="00A22AEC"/>
    <w:rsid w:val="00A23D6A"/>
    <w:rsid w:val="00AA10AB"/>
    <w:rsid w:val="00AA65A7"/>
    <w:rsid w:val="00B608E8"/>
    <w:rsid w:val="00BC5108"/>
    <w:rsid w:val="00BC7868"/>
    <w:rsid w:val="00BE196E"/>
    <w:rsid w:val="00CC03A0"/>
    <w:rsid w:val="00CD1927"/>
    <w:rsid w:val="00CD271F"/>
    <w:rsid w:val="00D52378"/>
    <w:rsid w:val="00D655BB"/>
    <w:rsid w:val="00E33DD3"/>
    <w:rsid w:val="00E56488"/>
    <w:rsid w:val="00E64418"/>
    <w:rsid w:val="00F30C90"/>
    <w:rsid w:val="00F557CF"/>
    <w:rsid w:val="00F95D5A"/>
    <w:rsid w:val="00FB38AF"/>
    <w:rsid w:val="00FD3687"/>
    <w:rsid w:val="00FE4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86EA8"/>
  <w15:chartTrackingRefBased/>
  <w15:docId w15:val="{655441FF-2B12-4E81-80A8-3685E9C29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1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96E"/>
  </w:style>
  <w:style w:type="paragraph" w:styleId="Footer">
    <w:name w:val="footer"/>
    <w:basedOn w:val="Normal"/>
    <w:link w:val="FooterChar"/>
    <w:uiPriority w:val="99"/>
    <w:unhideWhenUsed/>
    <w:rsid w:val="00BE1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96E"/>
  </w:style>
  <w:style w:type="paragraph" w:styleId="ListParagraph">
    <w:name w:val="List Paragraph"/>
    <w:basedOn w:val="Normal"/>
    <w:uiPriority w:val="34"/>
    <w:qFormat/>
    <w:rsid w:val="00A23D6A"/>
    <w:pPr>
      <w:spacing w:after="5" w:line="250" w:lineRule="auto"/>
      <w:ind w:left="720" w:hanging="10"/>
      <w:contextualSpacing/>
    </w:pPr>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040482">
      <w:bodyDiv w:val="1"/>
      <w:marLeft w:val="0"/>
      <w:marRight w:val="0"/>
      <w:marTop w:val="0"/>
      <w:marBottom w:val="0"/>
      <w:divBdr>
        <w:top w:val="none" w:sz="0" w:space="0" w:color="auto"/>
        <w:left w:val="none" w:sz="0" w:space="0" w:color="auto"/>
        <w:bottom w:val="none" w:sz="0" w:space="0" w:color="auto"/>
        <w:right w:val="none" w:sz="0" w:space="0" w:color="auto"/>
      </w:divBdr>
      <w:divsChild>
        <w:div w:id="2103606134">
          <w:marLeft w:val="0"/>
          <w:marRight w:val="0"/>
          <w:marTop w:val="0"/>
          <w:marBottom w:val="0"/>
          <w:divBdr>
            <w:top w:val="none" w:sz="0" w:space="0" w:color="auto"/>
            <w:left w:val="none" w:sz="0" w:space="0" w:color="auto"/>
            <w:bottom w:val="none" w:sz="0" w:space="0" w:color="auto"/>
            <w:right w:val="none" w:sz="0" w:space="0" w:color="auto"/>
          </w:divBdr>
        </w:div>
      </w:divsChild>
    </w:div>
    <w:div w:id="766926186">
      <w:bodyDiv w:val="1"/>
      <w:marLeft w:val="0"/>
      <w:marRight w:val="0"/>
      <w:marTop w:val="0"/>
      <w:marBottom w:val="0"/>
      <w:divBdr>
        <w:top w:val="none" w:sz="0" w:space="0" w:color="auto"/>
        <w:left w:val="none" w:sz="0" w:space="0" w:color="auto"/>
        <w:bottom w:val="none" w:sz="0" w:space="0" w:color="auto"/>
        <w:right w:val="none" w:sz="0" w:space="0" w:color="auto"/>
      </w:divBdr>
      <w:divsChild>
        <w:div w:id="12709402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5</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52</cp:revision>
  <dcterms:created xsi:type="dcterms:W3CDTF">2020-09-23T07:45:00Z</dcterms:created>
  <dcterms:modified xsi:type="dcterms:W3CDTF">2020-09-23T11:33:00Z</dcterms:modified>
</cp:coreProperties>
</file>